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outlineLvl w:val="0"/>
        <w:rPr>
          <w:rFonts w:ascii="宋体" w:hAnsi="宋体" w:eastAsia="宋体" w:cs="宋体"/>
          <w:b/>
          <w:bCs/>
          <w:color w:val="333333"/>
          <w:kern w:val="36"/>
          <w:sz w:val="29"/>
          <w:szCs w:val="29"/>
        </w:rPr>
      </w:pPr>
      <w:bookmarkStart w:id="0" w:name="_GoBack"/>
      <w:bookmarkEnd w:id="0"/>
      <w:r>
        <w:rPr>
          <w:rFonts w:hint="eastAsia" w:ascii="宋体" w:hAnsi="宋体" w:eastAsia="宋体" w:cs="宋体"/>
          <w:b/>
          <w:bCs/>
          <w:color w:val="333333"/>
          <w:kern w:val="36"/>
          <w:sz w:val="29"/>
          <w:szCs w:val="29"/>
        </w:rPr>
        <w:t>高等学校哲学社会科学繁荣计划专项资金管理办法</w:t>
      </w:r>
    </w:p>
    <w:p>
      <w:pPr>
        <w:widowControl/>
        <w:spacing w:line="378" w:lineRule="atLeast"/>
        <w:jc w:val="center"/>
        <w:rPr>
          <w:rFonts w:ascii="宋体" w:hAnsi="宋体" w:eastAsia="宋体" w:cs="宋体"/>
          <w:color w:val="000000"/>
          <w:kern w:val="0"/>
          <w:szCs w:val="21"/>
        </w:rPr>
      </w:pPr>
      <w:r>
        <w:rPr>
          <w:rFonts w:hint="eastAsia" w:ascii="宋体" w:hAnsi="宋体" w:eastAsia="宋体" w:cs="宋体"/>
          <w:b/>
          <w:bCs/>
          <w:color w:val="000000"/>
          <w:kern w:val="0"/>
          <w:szCs w:val="21"/>
        </w:rPr>
        <w:t>第一章  总  则</w:t>
      </w:r>
    </w:p>
    <w:p>
      <w:pPr>
        <w:widowControl/>
        <w:spacing w:before="150" w:line="378"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第一条 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第二条 繁荣计划专项资金由中央财政安排，是用于支持“高等学校哲学社会科学繁荣计划”（以下简称繁荣计划）社会科学研究、学科发展、人才培养和队伍建设的专项资金。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第四条 财政部、教育部负责制定繁荣计划专项资金管理制度，研究制定预算安排的总体方案。教育部负责编制繁荣计划专项资金年度预算、组织实施和管理监督工作，建立健全项目绩效考评机制。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项目依托学校的财务和科研管理等相关部门，要根据学科特点和实际需要,加强对项目预算执行和资金使用的指导；注重科学管理、改进服务，为项目实施提供条件保障。</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第六条 项目负责人是项目管理和资金使用的直接责任人，应当按照本办法规定，科学编制项目预算和决算，合理合规使用资金。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项目负责人应当严格遵守国家预算和财务管理规定，对资金使用和项目实施的合规性、合理性、真实性和相关性负责，并承担相应的经济与法律责任。</w:t>
      </w:r>
    </w:p>
    <w:p>
      <w:pPr>
        <w:widowControl/>
        <w:spacing w:before="150" w:line="378" w:lineRule="atLeast"/>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第二章  支出范围</w:t>
      </w:r>
    </w:p>
    <w:p>
      <w:pPr>
        <w:widowControl/>
        <w:spacing w:before="150" w:line="378"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第七条 繁荣计划专项资金分为研究项目资金、非研究项目资金和管理资金。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第八条 本办法第七条所称研究项目是指围绕繁荣计划建设任务设立的各类高校哲学社会科学研究项目的总称。研究项目资金包括在项目研究过程中发生的直接费用和间接费用。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第九条 直接费用包括图书资料费、数据采集费、会议费/差旅费/国际合作与交流费、设备费、专家咨询费、劳务费、印刷费/宣传费等。其中：</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图书资料费：指在项目研究过程中购买必要的图书（包括外文图书）、专业软件，资料收集、整理、录入、复印、翻拍、翻译，文献检索等费用。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数据采集费：指在项目研究过程中开展问卷调查、田野调查、数据购买、数据分析及相应技术服务购买等费用。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设备费：指在项目研究过程中购置设备和设备耗材、升级维护现有设备以及租用外单位设备而发生的费用。应当严格控制设备购置，鼓励共享、租赁以及对现有设备进行升级改造。</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专家咨询费：指在项目研究过程中支付给临时聘请的咨询专家的费用。专家咨询费由项目负责人按照项目研究实际需要编制，支出标准按照国家有关规定执行。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印刷费/宣传费：指在项目研究过程中支付的打印、印刷和出版、成果推介等费用。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其他：指与项目研究直接相关的除上述费用之外的其他支出。其他支出应当在项目预算中单独列示，单独核定。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间接费用一般按照不超过项目支出总额的一定比例核定。具体比例如下：50万元及以下部分为30%；超过50万元至500万元的部分为20%；超过500万元的部分为13%。严禁超额提取、变相提取和重复提取。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工作中的实际贡献挂钩。</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第十一条 非研究项目资金指支撑高校哲学社会科学科研机构、团队以及智库运行、优秀成果奖励等繁荣计划建设项目的资金。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非研究项目资金按照“绩效导向、稳定支持、协议管理、动态调整”的原则进行资助和管理，可以通过第三方评估将相关优秀的研究机构（或者智库、团队）纳入资助范围。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教育部与依托学校、受资助研究机构（或者智库、团队）约定建设周期内的目标任务，委托第三方进行评价考核，根据实际绩效实行有差别的稳定支持，并采取优胜劣汰、动态调整的管理方式。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财政部、教育部按规定对获得教育部科学研究优秀成果奖（人文社会科学）的成果进行奖励，对被采用和向有关部门报送的有价值、高水平的咨政成果实行后期资助和事后奖励。学校不得对奖励资金提取间接费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第十二条 管理资金是指教育部在实施繁荣计划过程中组织、协调、评审、鉴定等管理性工作所需费用。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在繁荣计划实施过程中，应按照“管、办、评”分离原则，推进政府购买服务，规范向社会力量购买服务的程序和方式，切实转变政府职能。</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第十三条 繁荣计划专项资金项目中的相关开支标准，按照国家以及项目依托学校的有关规定执行。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第十四条 繁荣计划专项资金应当专款专用，不得用于偿还贷款、支付罚款、捐赠、赞助、对外投资等支出，不得用于本单位编制内人员的工资支出，不得用于繁荣计划建设项目之外的支出，不得用于其他不符合国家规定的支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pPr>
        <w:widowControl/>
        <w:spacing w:before="150" w:line="378" w:lineRule="atLeast"/>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第三章  预算管理</w:t>
      </w:r>
    </w:p>
    <w:p>
      <w:pPr>
        <w:widowControl/>
        <w:spacing w:before="150" w:line="378"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作出说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项目资金需要转拨协作单位的，应在预算中单独列示，并对外协单位资质、承担的研究任务、外拨资金额度等进行详细说明。项目负责人应对合作（外协）业务的真实性、相关性负责。间接费用外拨金额，由项目依托学校和合作研究单位协商确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第十六条 教育部根据繁荣计划建设目标和建设内容，重点对项目预算的目标相关性、政策相符性、经济合理性进行评审。应建立评审专家库，建立和完善评审专家的遴选、回避、信用和问责制度。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第十七条 教育部根据部门预算编制要求，在部门预算“一上”时，将繁荣计划专项资金三年支出规划和年度预算建议数报送财政部，财政部按部门预算程序审核后批复年度预算。</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第十八条 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繁荣计划专项资金支付按照国库集中支付制度有关规定执行。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第十九条 项目依托学校应当将资金纳入学校财务部门统一管理。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学校应当指导项目负责人科学合理编制预算，规范预算调剂程序，完善项目资金支出、报销审核监督制度，加强对专家咨询费、劳务费、外拨资金、间接费用、结转结余资金等的审核和管理。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学校应当强化对合作项目真实性、可行性和合规性的审核，严格防止虚假资源匹配和虚假合作，坚决杜绝假借合作名义骗取资金。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第二十条 项目预算一经批复，必须严格执行。确需调剂的，应当按规定报批。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由于研究内容或者研究计划作出重大调整等原因，确需增加或减少预算总额的，由依托学校审核同意后报教育部审批。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在项目预算总额不变的情况下，支出科目和金额确需调剂的，由项目负责人根据实际需要提出调剂申请，报依托学校审批。会议费/差旅费/国际合作与交流费、劳务费、　　　　专家咨询费预算一般不予调增，可以调减用于项目其他方面支出。如有特殊情况确需调增的，由项目负责人提出申请，经学校审核同意后，报教育部审批。间接费用原则上不得调剂。原项目预算未列示外拨资金，需要增列的，或者已列示的外拨资金确需调整的，由项目负责人提出申请，报依托学校审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对于野外考察、数据采集等科研活动中无法取得发票或财政性票据的支出，在确保真实性的前提下，依托学校可按实际发生额予以报销。</w:t>
      </w:r>
    </w:p>
    <w:p>
      <w:pPr>
        <w:widowControl/>
        <w:spacing w:before="150" w:line="378" w:lineRule="atLeast"/>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第四章  决算管理</w:t>
      </w:r>
    </w:p>
    <w:p>
      <w:pPr>
        <w:widowControl/>
        <w:spacing w:before="150" w:line="378"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第二十二条 项目负责人应当按照规定编制项目资金年度决算。项目依托学校应将繁荣计划专项资金收支情况纳入单位年度决算统一编报。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第二十三条 项目完成后，项目负责人应当会同学校财务部门清理账目，据实编报项目决算，并附财务部门审核确认的项目资金收支明细账，与项目结项材料一并报送教育部。项目负责人和依托学校不得随意调账变动支出、随意修改记账凭证。</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第二十四条 对于研究项目资金,项目在研期间，年度结转资金可以在下一年度继续使用。项目完成目标任务并通过验收后，结余资金可以用于项目最终成果出版及后续研究的直接支出，或由项目依托学校统筹安排用于科研活动的直接支出。若项目审核验收2年后结余资金仍有剩余的，应当按原渠道退回教育部。对于非研究项目资金和管理资金,按照财政部关于结转结余资金管理有关规定执行。</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第二十五条 项目因故终止或被撤销，依托学校应当及时清理账目与资产，编制财务决算及资产清单，审核汇总后报送教育部。已拨资金或其剩余部分按原渠道退回教育部。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第二十六条 凡使用繁荣计划专项资金形成的固定资产、无形资产等均属国有资产，应当按照国有资产管理的有关规定执行。</w:t>
      </w:r>
    </w:p>
    <w:p>
      <w:pPr>
        <w:widowControl/>
        <w:spacing w:before="150" w:line="378" w:lineRule="atLeast"/>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第五章  监督检查与绩效管理</w:t>
      </w:r>
    </w:p>
    <w:p>
      <w:pPr>
        <w:widowControl/>
        <w:spacing w:before="150" w:line="378"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第二十八条 项目依托学校应当制定内部管理办法，明确审批程序和管理要求，落实项目预算调剂、间接费用统筹使用、劳务费分配管理、结转结余资金使用等自主权。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项目依托学校应当完善内部风险防控机制，加强预算审核把关，规范财务支出行为，强化资金使用绩效评价，保障资金使用安全规范有效。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项目依托学校应当实行内部公开制度，主动公开项目预算、预算调剂、决算、外拨资金、劳务费发放、间接费用、结余资金使用和研究成果等情况。</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项目依托学校和项目负责人应当严格遵守国家财经纪律，依法依规使用项目资金，不得擅自调整外拨资金，不得利用虚假票据套取资金，不得通过编造虚假合同、虚构人员名单等方式虚报冒领劳务费和专家咨询费，不得随意调账变动支出、随意修改记账凭证、以表代账应付财务审计和检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第二十九条 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第三十条 违反本办法规定的，依照《中华人民共和国预算法》、《财政违法行为处罚处分条例》等国家有关法律制度规定处理。</w:t>
      </w:r>
    </w:p>
    <w:p>
      <w:pPr>
        <w:widowControl/>
        <w:spacing w:before="150" w:line="378" w:lineRule="atLeast"/>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第六章  附  则</w:t>
      </w:r>
    </w:p>
    <w:p>
      <w:pPr>
        <w:widowControl/>
        <w:spacing w:before="150" w:line="378"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第三十一条 本办法由财政部、教育部负责解释。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第三十二条 本办法自2016年12月1日起施行。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FE"/>
    <w:rsid w:val="00087FE1"/>
    <w:rsid w:val="000C2604"/>
    <w:rsid w:val="000E2241"/>
    <w:rsid w:val="000E6320"/>
    <w:rsid w:val="00110FE0"/>
    <w:rsid w:val="0012328C"/>
    <w:rsid w:val="001672E1"/>
    <w:rsid w:val="001B6C5E"/>
    <w:rsid w:val="001D0495"/>
    <w:rsid w:val="00212A66"/>
    <w:rsid w:val="00227A16"/>
    <w:rsid w:val="00244C44"/>
    <w:rsid w:val="00263138"/>
    <w:rsid w:val="002F01A2"/>
    <w:rsid w:val="003D6C39"/>
    <w:rsid w:val="003E71B6"/>
    <w:rsid w:val="003F5753"/>
    <w:rsid w:val="00421FA9"/>
    <w:rsid w:val="00426542"/>
    <w:rsid w:val="00427C94"/>
    <w:rsid w:val="00494549"/>
    <w:rsid w:val="004B1E75"/>
    <w:rsid w:val="004E218F"/>
    <w:rsid w:val="004E5493"/>
    <w:rsid w:val="00504C43"/>
    <w:rsid w:val="00516E6C"/>
    <w:rsid w:val="00543AA2"/>
    <w:rsid w:val="005879CA"/>
    <w:rsid w:val="005C19AF"/>
    <w:rsid w:val="006513B9"/>
    <w:rsid w:val="00664C4C"/>
    <w:rsid w:val="007A1276"/>
    <w:rsid w:val="007B5849"/>
    <w:rsid w:val="007C68F1"/>
    <w:rsid w:val="007F5F1D"/>
    <w:rsid w:val="00841CF8"/>
    <w:rsid w:val="0087054B"/>
    <w:rsid w:val="00877FBE"/>
    <w:rsid w:val="0089692C"/>
    <w:rsid w:val="008A168F"/>
    <w:rsid w:val="00947D2B"/>
    <w:rsid w:val="0095335A"/>
    <w:rsid w:val="009B53A9"/>
    <w:rsid w:val="00A426DC"/>
    <w:rsid w:val="00B0612B"/>
    <w:rsid w:val="00B33E88"/>
    <w:rsid w:val="00B67422"/>
    <w:rsid w:val="00BC7336"/>
    <w:rsid w:val="00BC76AA"/>
    <w:rsid w:val="00C03037"/>
    <w:rsid w:val="00C12C61"/>
    <w:rsid w:val="00C50162"/>
    <w:rsid w:val="00C514EF"/>
    <w:rsid w:val="00C64FBE"/>
    <w:rsid w:val="00C76EF9"/>
    <w:rsid w:val="00C90A18"/>
    <w:rsid w:val="00CC581D"/>
    <w:rsid w:val="00CE3469"/>
    <w:rsid w:val="00CE5DF2"/>
    <w:rsid w:val="00D03833"/>
    <w:rsid w:val="00D160A0"/>
    <w:rsid w:val="00D711AD"/>
    <w:rsid w:val="00D95A4F"/>
    <w:rsid w:val="00DE6570"/>
    <w:rsid w:val="00E237BC"/>
    <w:rsid w:val="00E260E2"/>
    <w:rsid w:val="00E373FE"/>
    <w:rsid w:val="00E411DE"/>
    <w:rsid w:val="00E91782"/>
    <w:rsid w:val="00EB0F80"/>
    <w:rsid w:val="00EF3C1F"/>
    <w:rsid w:val="00F50926"/>
    <w:rsid w:val="00F66D6B"/>
    <w:rsid w:val="00F80959"/>
    <w:rsid w:val="00FA6ED0"/>
    <w:rsid w:val="00FB107D"/>
    <w:rsid w:val="00FE2C9C"/>
    <w:rsid w:val="00FE5CDB"/>
    <w:rsid w:val="2D4D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标题 1 字符"/>
    <w:basedOn w:val="5"/>
    <w:link w:val="2"/>
    <w:qFormat/>
    <w:uiPriority w:val="9"/>
    <w:rPr>
      <w:rFonts w:ascii="宋体" w:hAnsi="宋体" w:eastAsia="宋体" w:cs="宋体"/>
      <w:b/>
      <w:bCs/>
      <w:kern w:val="36"/>
      <w:sz w:val="48"/>
      <w:szCs w:val="48"/>
    </w:r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855</Words>
  <Characters>4875</Characters>
  <Lines>40</Lines>
  <Paragraphs>11</Paragraphs>
  <TotalTime>1</TotalTime>
  <ScaleCrop>false</ScaleCrop>
  <LinksUpToDate>false</LinksUpToDate>
  <CharactersWithSpaces>5719</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2018-08-16T02:18:00Z</dcterms:created>
  <dc:creator>Lenovo</dc:creator>
  <cp:lastModifiedBy>永</cp:lastModifiedBy>
  <dcterms:modified xsi:type="dcterms:W3CDTF">2021-01-27T02:20:10Z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